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64BE" w:rsidRDefault="00537D38" w:rsidP="00537D38">
      <w:pPr>
        <w:pStyle w:val="Title"/>
      </w:pPr>
      <w:bookmarkStart w:id="0" w:name="_GoBack"/>
      <w:bookmarkEnd w:id="0"/>
      <w:r>
        <w:t xml:space="preserve">BMEN E4001x: </w:t>
      </w:r>
      <w:r w:rsidR="008164BE">
        <w:t>Quantitative Physiology I / Molecular and Cellular Systems</w:t>
      </w:r>
    </w:p>
    <w:p w:rsidR="008164BE" w:rsidRDefault="00537D38">
      <w:pPr>
        <w:jc w:val="center"/>
        <w:rPr>
          <w:b/>
        </w:rPr>
      </w:pPr>
      <w:r>
        <w:rPr>
          <w:b/>
        </w:rPr>
        <w:t>Notes 1</w:t>
      </w:r>
      <w:r w:rsidR="009C2BA4">
        <w:rPr>
          <w:b/>
        </w:rPr>
        <w:t>2</w:t>
      </w:r>
      <w:r>
        <w:rPr>
          <w:b/>
        </w:rPr>
        <w:t xml:space="preserve"> </w:t>
      </w:r>
      <w:r w:rsidR="006043EB">
        <w:rPr>
          <w:b/>
        </w:rPr>
        <w:t>–</w:t>
      </w:r>
      <w:r w:rsidR="008164BE">
        <w:rPr>
          <w:b/>
        </w:rPr>
        <w:t xml:space="preserve"> </w:t>
      </w:r>
      <w:r w:rsidR="006043EB">
        <w:rPr>
          <w:b/>
        </w:rPr>
        <w:t>Dynamics of cytoskeletal structures</w:t>
      </w:r>
    </w:p>
    <w:p w:rsidR="003C1247" w:rsidRDefault="003C1247">
      <w:pPr>
        <w:jc w:val="center"/>
        <w:rPr>
          <w:b/>
        </w:rPr>
      </w:pPr>
      <w:r>
        <w:rPr>
          <w:b/>
        </w:rPr>
        <w:t>B&amp;B, Small part of Chapter 2.  Growth dynamics from Boal.</w:t>
      </w:r>
    </w:p>
    <w:p w:rsidR="008164BE" w:rsidRDefault="008164BE">
      <w:pPr>
        <w:pStyle w:val="Heading1"/>
      </w:pPr>
      <w:r>
        <w:t>Numerical treatment of growing/shrinking fibers</w:t>
      </w:r>
    </w:p>
    <w:p w:rsidR="008164BE" w:rsidRDefault="008164BE">
      <w:pPr>
        <w:pStyle w:val="Heading2"/>
      </w:pPr>
      <w:r>
        <w:t>Simplest process, defining:</w:t>
      </w:r>
    </w:p>
    <w:p w:rsidR="008164BE" w:rsidRDefault="008164BE">
      <w:pPr>
        <w:autoSpaceDE w:val="0"/>
        <w:autoSpaceDN w:val="0"/>
        <w:adjustRightInd w:val="0"/>
        <w:spacing w:after="0"/>
      </w:pPr>
      <w:r>
        <w:rPr>
          <w:rFonts w:ascii="Symbol" w:hAnsi="Symbol" w:cs="Arial"/>
        </w:rPr>
        <w:t></w:t>
      </w:r>
      <w:r>
        <w:rPr>
          <w:rFonts w:ascii="Symbol" w:hAnsi="Symbol" w:cs="Arial"/>
        </w:rPr>
        <w:t></w:t>
      </w:r>
      <w:r>
        <w:rPr>
          <w:rFonts w:ascii="Symbol" w:hAnsi="Symbol" w:cs="Arial"/>
        </w:rPr>
        <w:t></w:t>
      </w:r>
      <w:r>
        <w:t>n = length of filament, in numbers of units</w:t>
      </w:r>
    </w:p>
    <w:p w:rsidR="008164BE" w:rsidRDefault="008164BE">
      <w:pPr>
        <w:autoSpaceDE w:val="0"/>
        <w:autoSpaceDN w:val="0"/>
        <w:adjustRightInd w:val="0"/>
        <w:spacing w:after="0"/>
      </w:pPr>
      <w:r>
        <w:rPr>
          <w:rFonts w:ascii="Symbol" w:hAnsi="Symbol" w:cs="Arial"/>
        </w:rPr>
        <w:t></w:t>
      </w:r>
      <w:r>
        <w:rPr>
          <w:rFonts w:ascii="Symbol" w:hAnsi="Symbol" w:cs="Arial"/>
        </w:rPr>
        <w:t></w:t>
      </w:r>
      <w:r>
        <w:rPr>
          <w:rFonts w:ascii="Symbol" w:hAnsi="Symbol" w:cs="Arial"/>
        </w:rPr>
        <w:t></w:t>
      </w:r>
      <w:r>
        <w:t>[M] = concentration of monomer, at the moment unaffected by GTP/ATP/other factors</w:t>
      </w:r>
    </w:p>
    <w:p w:rsidR="008164BE" w:rsidRDefault="008164BE">
      <w:pPr>
        <w:autoSpaceDE w:val="0"/>
        <w:autoSpaceDN w:val="0"/>
        <w:adjustRightInd w:val="0"/>
        <w:spacing w:after="0"/>
        <w:jc w:val="center"/>
      </w:pPr>
      <w:r>
        <w:rPr>
          <w:position w:val="-24"/>
        </w:rPr>
        <w:object w:dxaOrig="2120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06.4pt;height:31.15pt" o:ole="">
            <v:imagedata r:id="rId6" o:title=""/>
          </v:shape>
          <o:OLEObject Type="Embed" ProgID="Equation.3" ShapeID="_x0000_i1025" DrawAspect="Content" ObjectID="_1540730795" r:id="rId7"/>
        </w:object>
      </w:r>
    </w:p>
    <w:p w:rsidR="008164BE" w:rsidRDefault="008164BE">
      <w:pPr>
        <w:pStyle w:val="LectureNotesNormal"/>
      </w:pPr>
      <w:r>
        <w:t>One factor is dependent on monomer concentration, the other is not.</w:t>
      </w:r>
    </w:p>
    <w:p w:rsidR="008164BE" w:rsidRDefault="008164BE">
      <w:pPr>
        <w:pStyle w:val="LectureNotesNormal"/>
      </w:pPr>
      <w:r>
        <w:t>This does lead to an interesting behavior, the critical concentration:</w:t>
      </w:r>
    </w:p>
    <w:p w:rsidR="008164BE" w:rsidRDefault="008164BE">
      <w:pPr>
        <w:pStyle w:val="Equations"/>
      </w:pPr>
      <w:r>
        <w:rPr>
          <w:position w:val="-30"/>
        </w:rPr>
        <w:object w:dxaOrig="1320" w:dyaOrig="700">
          <v:shape id="_x0000_i1026" type="#_x0000_t75" style="width:65.55pt;height:35.45pt" o:ole="">
            <v:imagedata r:id="rId8" o:title=""/>
          </v:shape>
          <o:OLEObject Type="Embed" ProgID="Equation.3" ShapeID="_x0000_i1026" DrawAspect="Content" ObjectID="_1540730796" r:id="rId9"/>
        </w:object>
      </w:r>
    </w:p>
    <w:p w:rsidR="008164BE" w:rsidRDefault="008164BE">
      <w:pPr>
        <w:pStyle w:val="LectureNotesNormal"/>
      </w:pPr>
      <w:r>
        <w:t>below which, the filament shrinks, and above which, the filament grows. Very cool, suggesting that local concentration may be one way of controlling filament assembly.</w:t>
      </w:r>
    </w:p>
    <w:p w:rsidR="008164BE" w:rsidRDefault="008164BE">
      <w:pPr>
        <w:pStyle w:val="Heading2"/>
      </w:pPr>
      <w:r>
        <w:t>More complexity, GTP/ATP manipulations:</w:t>
      </w:r>
    </w:p>
    <w:p w:rsidR="008164BE" w:rsidRDefault="008164BE">
      <w:pPr>
        <w:pStyle w:val="LectureNotesNormal"/>
      </w:pPr>
      <w:r>
        <w:t>We commented on the role of ATP/</w:t>
      </w:r>
      <w:smartTag w:uri="urn:schemas-microsoft-com:office:smarttags" w:element="stockticker">
        <w:r>
          <w:t>ADP</w:t>
        </w:r>
      </w:smartTag>
      <w:r>
        <w:t xml:space="preserve"> and GTP/</w:t>
      </w:r>
      <w:smartTag w:uri="urn:schemas-microsoft-com:office:smarttags" w:element="stockticker">
        <w:r>
          <w:t>GDP</w:t>
        </w:r>
      </w:smartTag>
      <w:r>
        <w:t xml:space="preserve"> in modulating monomer affinity, and also noted on the polarity of the various structures.  This leads to a more complex, and interesting, model of filament assembly.</w:t>
      </w:r>
    </w:p>
    <w:p w:rsidR="008164BE" w:rsidRDefault="00590FDD">
      <w:pPr>
        <w:pStyle w:val="LectureNotesNormal"/>
        <w:jc w:val="center"/>
      </w:pPr>
      <w:r>
        <w:rPr>
          <w:noProof/>
        </w:rPr>
        <w:drawing>
          <wp:inline distT="0" distB="0" distL="0" distR="0">
            <wp:extent cx="4776470" cy="1542415"/>
            <wp:effectExtent l="0" t="0" r="5080" b="63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76470" cy="1542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5827395" cy="1746885"/>
            <wp:effectExtent l="0" t="0" r="1905" b="571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27395" cy="1746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164BE" w:rsidRDefault="008164BE">
      <w:pPr>
        <w:pStyle w:val="LectureNotesNormal"/>
      </w:pPr>
      <w:r>
        <w:t>What does this imply? Look at growth and disassembly at each end, as function of GTP form only:</w:t>
      </w:r>
    </w:p>
    <w:p w:rsidR="008164BE" w:rsidRDefault="00590FDD">
      <w:pPr>
        <w:pStyle w:val="LectureNotesNormal"/>
        <w:jc w:val="center"/>
      </w:pPr>
      <w:r>
        <w:rPr>
          <w:noProof/>
        </w:rPr>
        <w:lastRenderedPageBreak/>
        <w:drawing>
          <wp:inline distT="0" distB="0" distL="0" distR="0">
            <wp:extent cx="3016250" cy="2333625"/>
            <wp:effectExtent l="0" t="0" r="0" b="952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16250" cy="2333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164BE" w:rsidRDefault="008164BE">
      <w:pPr>
        <w:pStyle w:val="LectureNotesNormal"/>
      </w:pPr>
      <w:r>
        <w:t>How about actin?</w:t>
      </w:r>
    </w:p>
    <w:p w:rsidR="008164BE" w:rsidRDefault="00590FDD">
      <w:pPr>
        <w:pStyle w:val="LectureNotesNormal"/>
      </w:pPr>
      <w:r>
        <w:rPr>
          <w:noProof/>
        </w:rPr>
        <w:drawing>
          <wp:inline distT="0" distB="0" distL="0" distR="0">
            <wp:extent cx="5936615" cy="1200785"/>
            <wp:effectExtent l="0" t="0" r="6985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6615" cy="1200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164BE" w:rsidRDefault="008164BE">
      <w:pPr>
        <w:pStyle w:val="LectureNotesNormal"/>
      </w:pPr>
      <w:r>
        <w:t>Again, for ATP form only.</w:t>
      </w:r>
    </w:p>
    <w:p w:rsidR="008164BE" w:rsidRDefault="00590FDD">
      <w:pPr>
        <w:pStyle w:val="LectureNotesNormal"/>
        <w:jc w:val="center"/>
      </w:pPr>
      <w:r>
        <w:rPr>
          <w:noProof/>
        </w:rPr>
        <w:drawing>
          <wp:inline distT="0" distB="0" distL="0" distR="0">
            <wp:extent cx="2484120" cy="1896745"/>
            <wp:effectExtent l="0" t="0" r="0" b="8255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4120" cy="1896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164BE" w:rsidRDefault="008164BE">
      <w:pPr>
        <w:pStyle w:val="LectureNotesNormal"/>
      </w:pPr>
      <w:r>
        <w:t xml:space="preserve">Interesting, in that there are clearly the growth and shrinkage phases, but there is also a treadmilling phase. This can actually be seen for a GFP-modified actin molecule. This is not observed for tubulin, or for the </w:t>
      </w:r>
      <w:smartTag w:uri="urn:schemas-microsoft-com:office:smarttags" w:element="stockticker">
        <w:r>
          <w:t>ADP</w:t>
        </w:r>
      </w:smartTag>
      <w:r>
        <w:t xml:space="preserve"> form of actin to a large extent.</w:t>
      </w:r>
    </w:p>
    <w:p w:rsidR="008164BE" w:rsidRDefault="008164BE">
      <w:pPr>
        <w:pStyle w:val="LectureNotesNormal"/>
      </w:pPr>
      <w:r>
        <w:t>While it is not definitely shown, actin filament growth is on the scale of that important for crawling cells.</w:t>
      </w:r>
    </w:p>
    <w:p w:rsidR="008164BE" w:rsidRDefault="00590FDD">
      <w:pPr>
        <w:pStyle w:val="LectureNotesNormal"/>
        <w:jc w:val="center"/>
      </w:pPr>
      <w:r>
        <w:rPr>
          <w:noProof/>
        </w:rPr>
        <w:drawing>
          <wp:inline distT="0" distB="0" distL="0" distR="0">
            <wp:extent cx="4585335" cy="750570"/>
            <wp:effectExtent l="0" t="0" r="5715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5335" cy="750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164BE" w:rsidRDefault="008164BE">
      <w:pPr>
        <w:pStyle w:val="LectureNotesNormal"/>
        <w:rPr>
          <w:sz w:val="20"/>
          <w:szCs w:val="20"/>
        </w:rPr>
      </w:pPr>
      <w:r>
        <w:t xml:space="preserve">So, these results demonstrate modulation of filament behavior as a function of monomer concentration in free solution. Clearly, other modifications of the basic rate processes could </w:t>
      </w:r>
      <w:r>
        <w:lastRenderedPageBreak/>
        <w:t>also lead to modification microtubule and thin filament rates. This includes salt concentration and any enzymes in that region. Clearly control over these processes requires micrometer-scale control over proteins within the cell regions; thus another place where diffusion really helps the cell. Other methods include capping the ends of the growing filaments, which clearly limit assembly and disassembly of the structures.</w:t>
      </w:r>
    </w:p>
    <w:p w:rsidR="008164BE" w:rsidRDefault="008164BE">
      <w:pPr>
        <w:pStyle w:val="LectureNotesNormal"/>
      </w:pPr>
    </w:p>
    <w:sectPr w:rsidR="008164BE"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C03D5"/>
    <w:multiLevelType w:val="hybridMultilevel"/>
    <w:tmpl w:val="6B50682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7770488"/>
    <w:multiLevelType w:val="hybridMultilevel"/>
    <w:tmpl w:val="ECAC1D9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81E179E"/>
    <w:multiLevelType w:val="hybridMultilevel"/>
    <w:tmpl w:val="6ED45A1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A0813A4"/>
    <w:multiLevelType w:val="hybridMultilevel"/>
    <w:tmpl w:val="64989C8E"/>
    <w:lvl w:ilvl="0" w:tplc="040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4">
    <w:nsid w:val="117B4054"/>
    <w:multiLevelType w:val="hybridMultilevel"/>
    <w:tmpl w:val="14846EB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2980918"/>
    <w:multiLevelType w:val="hybridMultilevel"/>
    <w:tmpl w:val="06DCA03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559087E"/>
    <w:multiLevelType w:val="hybridMultilevel"/>
    <w:tmpl w:val="D5B652A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9CD5EA4"/>
    <w:multiLevelType w:val="hybridMultilevel"/>
    <w:tmpl w:val="F64ECA18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2A5F41FF"/>
    <w:multiLevelType w:val="hybridMultilevel"/>
    <w:tmpl w:val="2ED407A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B551758"/>
    <w:multiLevelType w:val="hybridMultilevel"/>
    <w:tmpl w:val="8F506C6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0916897"/>
    <w:multiLevelType w:val="hybridMultilevel"/>
    <w:tmpl w:val="8B362E6E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>
    <w:nsid w:val="309A537E"/>
    <w:multiLevelType w:val="hybridMultilevel"/>
    <w:tmpl w:val="BD144D3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0A27970"/>
    <w:multiLevelType w:val="hybridMultilevel"/>
    <w:tmpl w:val="3D24148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DC32CC4"/>
    <w:multiLevelType w:val="hybridMultilevel"/>
    <w:tmpl w:val="53041D8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F933312"/>
    <w:multiLevelType w:val="hybridMultilevel"/>
    <w:tmpl w:val="E2184B5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423B1D85"/>
    <w:multiLevelType w:val="hybridMultilevel"/>
    <w:tmpl w:val="69D6CDD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43868AE"/>
    <w:multiLevelType w:val="hybridMultilevel"/>
    <w:tmpl w:val="3FB46428"/>
    <w:lvl w:ilvl="0" w:tplc="0409000F">
      <w:start w:val="1"/>
      <w:numFmt w:val="decimal"/>
      <w:lvlText w:val="%1."/>
      <w:lvlJc w:val="left"/>
      <w:pPr>
        <w:tabs>
          <w:tab w:val="num" w:pos="2520"/>
        </w:tabs>
        <w:ind w:left="25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3240"/>
        </w:tabs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960"/>
        </w:tabs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680"/>
        </w:tabs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400"/>
        </w:tabs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120"/>
        </w:tabs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840"/>
        </w:tabs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560"/>
        </w:tabs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280"/>
        </w:tabs>
        <w:ind w:left="8280" w:hanging="180"/>
      </w:pPr>
    </w:lvl>
  </w:abstractNum>
  <w:abstractNum w:abstractNumId="17">
    <w:nsid w:val="47B233EA"/>
    <w:multiLevelType w:val="hybridMultilevel"/>
    <w:tmpl w:val="B4F0F94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4E991B28"/>
    <w:multiLevelType w:val="hybridMultilevel"/>
    <w:tmpl w:val="EF16BE0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53D14DC9"/>
    <w:multiLevelType w:val="hybridMultilevel"/>
    <w:tmpl w:val="A3DE18E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B035870"/>
    <w:multiLevelType w:val="hybridMultilevel"/>
    <w:tmpl w:val="0180E52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CD40664"/>
    <w:multiLevelType w:val="hybridMultilevel"/>
    <w:tmpl w:val="90C0BBEC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CAF414B"/>
    <w:multiLevelType w:val="hybridMultilevel"/>
    <w:tmpl w:val="5586849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72F85304"/>
    <w:multiLevelType w:val="hybridMultilevel"/>
    <w:tmpl w:val="ED161E0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731404D6"/>
    <w:multiLevelType w:val="hybridMultilevel"/>
    <w:tmpl w:val="62E68BC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75342461"/>
    <w:multiLevelType w:val="hybridMultilevel"/>
    <w:tmpl w:val="99CA523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77DF6935"/>
    <w:multiLevelType w:val="hybridMultilevel"/>
    <w:tmpl w:val="AA5E86B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7A4D354E"/>
    <w:multiLevelType w:val="hybridMultilevel"/>
    <w:tmpl w:val="49686DA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7A4F78C3"/>
    <w:multiLevelType w:val="hybridMultilevel"/>
    <w:tmpl w:val="324E646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5"/>
  </w:num>
  <w:num w:numId="3">
    <w:abstractNumId w:val="0"/>
  </w:num>
  <w:num w:numId="4">
    <w:abstractNumId w:val="3"/>
  </w:num>
  <w:num w:numId="5">
    <w:abstractNumId w:val="9"/>
  </w:num>
  <w:num w:numId="6">
    <w:abstractNumId w:val="19"/>
  </w:num>
  <w:num w:numId="7">
    <w:abstractNumId w:val="16"/>
  </w:num>
  <w:num w:numId="8">
    <w:abstractNumId w:val="4"/>
  </w:num>
  <w:num w:numId="9">
    <w:abstractNumId w:val="14"/>
  </w:num>
  <w:num w:numId="10">
    <w:abstractNumId w:val="22"/>
  </w:num>
  <w:num w:numId="11">
    <w:abstractNumId w:val="5"/>
  </w:num>
  <w:num w:numId="12">
    <w:abstractNumId w:val="12"/>
  </w:num>
  <w:num w:numId="13">
    <w:abstractNumId w:val="2"/>
  </w:num>
  <w:num w:numId="14">
    <w:abstractNumId w:val="11"/>
  </w:num>
  <w:num w:numId="15">
    <w:abstractNumId w:val="18"/>
  </w:num>
  <w:num w:numId="16">
    <w:abstractNumId w:val="8"/>
  </w:num>
  <w:num w:numId="17">
    <w:abstractNumId w:val="21"/>
  </w:num>
  <w:num w:numId="18">
    <w:abstractNumId w:val="7"/>
  </w:num>
  <w:num w:numId="19">
    <w:abstractNumId w:val="15"/>
  </w:num>
  <w:num w:numId="20">
    <w:abstractNumId w:val="10"/>
  </w:num>
  <w:num w:numId="21">
    <w:abstractNumId w:val="28"/>
  </w:num>
  <w:num w:numId="22">
    <w:abstractNumId w:val="17"/>
  </w:num>
  <w:num w:numId="23">
    <w:abstractNumId w:val="13"/>
  </w:num>
  <w:num w:numId="24">
    <w:abstractNumId w:val="24"/>
  </w:num>
  <w:num w:numId="25">
    <w:abstractNumId w:val="20"/>
  </w:num>
  <w:num w:numId="26">
    <w:abstractNumId w:val="23"/>
  </w:num>
  <w:num w:numId="27">
    <w:abstractNumId w:val="6"/>
  </w:num>
  <w:num w:numId="28">
    <w:abstractNumId w:val="26"/>
  </w:num>
  <w:num w:numId="29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7D38"/>
    <w:rsid w:val="003C1247"/>
    <w:rsid w:val="00537D38"/>
    <w:rsid w:val="00590FDD"/>
    <w:rsid w:val="006043EB"/>
    <w:rsid w:val="008164BE"/>
    <w:rsid w:val="00874568"/>
    <w:rsid w:val="009C2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stockticker"/>
  <w:shapeDefaults>
    <o:shapedefaults v:ext="edit" spidmax="1026" fill="f" fillcolor="white" stroke="f">
      <v:fill color="white" on="f"/>
      <v:stroke on="f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spacing w:after="60"/>
    </w:pPr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spacing w:before="24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spacing w:before="24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pPr>
      <w:keepNext/>
      <w:spacing w:before="24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i/>
      <w:iCs/>
      <w:u w:val="single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character" w:styleId="Hyperlink">
    <w:name w:val="Hyperlink"/>
    <w:rPr>
      <w:color w:val="0000FF"/>
      <w:u w:val="single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LectureNotesNormal">
    <w:name w:val="Lecture Notes Normal"/>
    <w:basedOn w:val="Normal"/>
    <w:pPr>
      <w:ind w:left="360" w:hanging="360"/>
    </w:pPr>
  </w:style>
  <w:style w:type="paragraph" w:customStyle="1" w:styleId="Equations">
    <w:name w:val="Equations"/>
    <w:basedOn w:val="Normal"/>
    <w:pPr>
      <w:spacing w:after="0"/>
      <w:jc w:val="center"/>
    </w:pPr>
  </w:style>
  <w:style w:type="paragraph" w:customStyle="1" w:styleId="Equationnote">
    <w:name w:val="Equation note"/>
    <w:basedOn w:val="Normal"/>
    <w:pPr>
      <w:spacing w:after="0"/>
      <w:ind w:left="1080"/>
    </w:pPr>
  </w:style>
  <w:style w:type="paragraph" w:styleId="BodyTextIndent">
    <w:name w:val="Body Text Indent"/>
    <w:basedOn w:val="Normal"/>
    <w:pPr>
      <w:ind w:left="1440" w:hanging="720"/>
    </w:pPr>
  </w:style>
  <w:style w:type="paragraph" w:styleId="Title">
    <w:name w:val="Title"/>
    <w:basedOn w:val="Normal"/>
    <w:qFormat/>
    <w:pPr>
      <w:jc w:val="center"/>
    </w:pPr>
    <w:rPr>
      <w:b/>
    </w:r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paragraph" w:styleId="Index2">
    <w:name w:val="index 2"/>
    <w:basedOn w:val="Normal"/>
    <w:next w:val="Normal"/>
    <w:autoRedefine/>
    <w:semiHidden/>
    <w:pPr>
      <w:ind w:left="480" w:hanging="240"/>
    </w:pPr>
  </w:style>
  <w:style w:type="paragraph" w:styleId="Index3">
    <w:name w:val="index 3"/>
    <w:basedOn w:val="Normal"/>
    <w:next w:val="Normal"/>
    <w:autoRedefine/>
    <w:semiHidden/>
    <w:pPr>
      <w:ind w:left="720" w:hanging="240"/>
    </w:pPr>
  </w:style>
  <w:style w:type="paragraph" w:styleId="Index4">
    <w:name w:val="index 4"/>
    <w:basedOn w:val="Normal"/>
    <w:next w:val="Normal"/>
    <w:autoRedefine/>
    <w:semiHidden/>
    <w:pPr>
      <w:ind w:left="960" w:hanging="240"/>
    </w:pPr>
  </w:style>
  <w:style w:type="paragraph" w:styleId="Index5">
    <w:name w:val="index 5"/>
    <w:basedOn w:val="Normal"/>
    <w:next w:val="Normal"/>
    <w:autoRedefine/>
    <w:semiHidden/>
    <w:pPr>
      <w:ind w:left="1200" w:hanging="240"/>
    </w:pPr>
  </w:style>
  <w:style w:type="paragraph" w:styleId="Index6">
    <w:name w:val="index 6"/>
    <w:basedOn w:val="Normal"/>
    <w:next w:val="Normal"/>
    <w:autoRedefine/>
    <w:semiHidden/>
    <w:pPr>
      <w:ind w:left="1440" w:hanging="240"/>
    </w:pPr>
  </w:style>
  <w:style w:type="paragraph" w:styleId="Index7">
    <w:name w:val="index 7"/>
    <w:basedOn w:val="Normal"/>
    <w:next w:val="Normal"/>
    <w:autoRedefine/>
    <w:semiHidden/>
    <w:pPr>
      <w:ind w:left="1680" w:hanging="240"/>
    </w:pPr>
  </w:style>
  <w:style w:type="paragraph" w:styleId="Index8">
    <w:name w:val="index 8"/>
    <w:basedOn w:val="Normal"/>
    <w:next w:val="Normal"/>
    <w:autoRedefine/>
    <w:semiHidden/>
    <w:pPr>
      <w:ind w:left="1920" w:hanging="240"/>
    </w:pPr>
  </w:style>
  <w:style w:type="paragraph" w:styleId="Index9">
    <w:name w:val="index 9"/>
    <w:basedOn w:val="Normal"/>
    <w:next w:val="Normal"/>
    <w:autoRedefine/>
    <w:semiHidden/>
    <w:pPr>
      <w:ind w:left="2160" w:hanging="240"/>
    </w:pPr>
  </w:style>
  <w:style w:type="paragraph" w:styleId="IndexHeading">
    <w:name w:val="index heading"/>
    <w:basedOn w:val="Normal"/>
    <w:next w:val="Index1"/>
    <w:semiHidden/>
  </w:style>
  <w:style w:type="paragraph" w:styleId="BalloonText">
    <w:name w:val="Balloon Text"/>
    <w:basedOn w:val="Normal"/>
    <w:link w:val="BalloonTextChar"/>
    <w:rsid w:val="00874568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87456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spacing w:after="60"/>
    </w:pPr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spacing w:before="24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spacing w:before="24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pPr>
      <w:keepNext/>
      <w:spacing w:before="24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i/>
      <w:iCs/>
      <w:u w:val="single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character" w:styleId="Hyperlink">
    <w:name w:val="Hyperlink"/>
    <w:rPr>
      <w:color w:val="0000FF"/>
      <w:u w:val="single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LectureNotesNormal">
    <w:name w:val="Lecture Notes Normal"/>
    <w:basedOn w:val="Normal"/>
    <w:pPr>
      <w:ind w:left="360" w:hanging="360"/>
    </w:pPr>
  </w:style>
  <w:style w:type="paragraph" w:customStyle="1" w:styleId="Equations">
    <w:name w:val="Equations"/>
    <w:basedOn w:val="Normal"/>
    <w:pPr>
      <w:spacing w:after="0"/>
      <w:jc w:val="center"/>
    </w:pPr>
  </w:style>
  <w:style w:type="paragraph" w:customStyle="1" w:styleId="Equationnote">
    <w:name w:val="Equation note"/>
    <w:basedOn w:val="Normal"/>
    <w:pPr>
      <w:spacing w:after="0"/>
      <w:ind w:left="1080"/>
    </w:pPr>
  </w:style>
  <w:style w:type="paragraph" w:styleId="BodyTextIndent">
    <w:name w:val="Body Text Indent"/>
    <w:basedOn w:val="Normal"/>
    <w:pPr>
      <w:ind w:left="1440" w:hanging="720"/>
    </w:pPr>
  </w:style>
  <w:style w:type="paragraph" w:styleId="Title">
    <w:name w:val="Title"/>
    <w:basedOn w:val="Normal"/>
    <w:qFormat/>
    <w:pPr>
      <w:jc w:val="center"/>
    </w:pPr>
    <w:rPr>
      <w:b/>
    </w:r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paragraph" w:styleId="Index2">
    <w:name w:val="index 2"/>
    <w:basedOn w:val="Normal"/>
    <w:next w:val="Normal"/>
    <w:autoRedefine/>
    <w:semiHidden/>
    <w:pPr>
      <w:ind w:left="480" w:hanging="240"/>
    </w:pPr>
  </w:style>
  <w:style w:type="paragraph" w:styleId="Index3">
    <w:name w:val="index 3"/>
    <w:basedOn w:val="Normal"/>
    <w:next w:val="Normal"/>
    <w:autoRedefine/>
    <w:semiHidden/>
    <w:pPr>
      <w:ind w:left="720" w:hanging="240"/>
    </w:pPr>
  </w:style>
  <w:style w:type="paragraph" w:styleId="Index4">
    <w:name w:val="index 4"/>
    <w:basedOn w:val="Normal"/>
    <w:next w:val="Normal"/>
    <w:autoRedefine/>
    <w:semiHidden/>
    <w:pPr>
      <w:ind w:left="960" w:hanging="240"/>
    </w:pPr>
  </w:style>
  <w:style w:type="paragraph" w:styleId="Index5">
    <w:name w:val="index 5"/>
    <w:basedOn w:val="Normal"/>
    <w:next w:val="Normal"/>
    <w:autoRedefine/>
    <w:semiHidden/>
    <w:pPr>
      <w:ind w:left="1200" w:hanging="240"/>
    </w:pPr>
  </w:style>
  <w:style w:type="paragraph" w:styleId="Index6">
    <w:name w:val="index 6"/>
    <w:basedOn w:val="Normal"/>
    <w:next w:val="Normal"/>
    <w:autoRedefine/>
    <w:semiHidden/>
    <w:pPr>
      <w:ind w:left="1440" w:hanging="240"/>
    </w:pPr>
  </w:style>
  <w:style w:type="paragraph" w:styleId="Index7">
    <w:name w:val="index 7"/>
    <w:basedOn w:val="Normal"/>
    <w:next w:val="Normal"/>
    <w:autoRedefine/>
    <w:semiHidden/>
    <w:pPr>
      <w:ind w:left="1680" w:hanging="240"/>
    </w:pPr>
  </w:style>
  <w:style w:type="paragraph" w:styleId="Index8">
    <w:name w:val="index 8"/>
    <w:basedOn w:val="Normal"/>
    <w:next w:val="Normal"/>
    <w:autoRedefine/>
    <w:semiHidden/>
    <w:pPr>
      <w:ind w:left="1920" w:hanging="240"/>
    </w:pPr>
  </w:style>
  <w:style w:type="paragraph" w:styleId="Index9">
    <w:name w:val="index 9"/>
    <w:basedOn w:val="Normal"/>
    <w:next w:val="Normal"/>
    <w:autoRedefine/>
    <w:semiHidden/>
    <w:pPr>
      <w:ind w:left="2160" w:hanging="240"/>
    </w:pPr>
  </w:style>
  <w:style w:type="paragraph" w:styleId="IndexHeading">
    <w:name w:val="index heading"/>
    <w:basedOn w:val="Normal"/>
    <w:next w:val="Index1"/>
    <w:semiHidden/>
  </w:style>
  <w:style w:type="paragraph" w:styleId="BalloonText">
    <w:name w:val="Balloon Text"/>
    <w:basedOn w:val="Normal"/>
    <w:link w:val="BalloonTextChar"/>
    <w:rsid w:val="00874568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87456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image" Target="media/image6.png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12" Type="http://schemas.openxmlformats.org/officeDocument/2006/relationships/image" Target="media/image5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315</Words>
  <Characters>1802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Quantitative Physiology I / Molecular and Cellular Systems</vt:lpstr>
    </vt:vector>
  </TitlesOfParts>
  <Company>Columbia University</Company>
  <LinksUpToDate>false</LinksUpToDate>
  <CharactersWithSpaces>2113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Quantitative Physiology I / Molecular and Cellular Systems</dc:title>
  <dc:creator>Lance Kam</dc:creator>
  <cp:lastModifiedBy>MBL</cp:lastModifiedBy>
  <cp:revision>2</cp:revision>
  <cp:lastPrinted>2005-11-22T20:03:00Z</cp:lastPrinted>
  <dcterms:created xsi:type="dcterms:W3CDTF">2016-11-15T21:00:00Z</dcterms:created>
  <dcterms:modified xsi:type="dcterms:W3CDTF">2016-11-15T21:00:00Z</dcterms:modified>
</cp:coreProperties>
</file>